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0866" w14:textId="043ABBB0" w:rsidR="00D9015B" w:rsidRDefault="00E54125" w:rsidP="00C978F4">
      <w:pPr>
        <w:ind w:left="-135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EFA2B" wp14:editId="2A298435">
                <wp:simplePos x="0" y="0"/>
                <wp:positionH relativeFrom="column">
                  <wp:posOffset>-491490</wp:posOffset>
                </wp:positionH>
                <wp:positionV relativeFrom="paragraph">
                  <wp:posOffset>1373579</wp:posOffset>
                </wp:positionV>
                <wp:extent cx="7099300" cy="6868633"/>
                <wp:effectExtent l="0" t="0" r="635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0" cy="6868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BE9FEE" w14:textId="23A843C5" w:rsidR="00E54125" w:rsidRPr="0004306E" w:rsidRDefault="00E54125" w:rsidP="00E54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504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Introducing, </w:t>
                            </w:r>
                            <w:r w:rsidR="0004306E" w:rsidRPr="000430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Goodwill Nurse line</w:t>
                            </w:r>
                            <w:r w:rsidRPr="0004306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190A3E3D" w14:textId="40EF4A58" w:rsidR="00E54125" w:rsidRPr="00FC5040" w:rsidRDefault="00E54125" w:rsidP="00CD1BC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</w:t>
                            </w:r>
                            <w:r w:rsidR="00B669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oodwill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Nurse line</w:t>
                            </w:r>
                            <w:r w:rsidRPr="00FC50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Eases the Pain of Workers’ Compensation</w:t>
                            </w:r>
                          </w:p>
                          <w:p w14:paraId="3902564B" w14:textId="7D086B79" w:rsidR="00E54125" w:rsidRPr="00FC5040" w:rsidRDefault="00E54125" w:rsidP="00CD1B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There’s nothing fun about workers’ comp. Completing </w:t>
                            </w:r>
                            <w:proofErr w:type="spellStart"/>
                            <w:r w:rsidR="00B064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GConnect</w:t>
                            </w:r>
                            <w:proofErr w:type="spellEnd"/>
                            <w:r w:rsidR="00B064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reports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filing claims, managing providers, determining if an employee should seek medical attention, and deciding where to send them. That's why we're providing our employees with the benefit of </w:t>
                            </w:r>
                            <w:r w:rsidR="00CD1BC1" w:rsidRPr="00CD1B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Goodwill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Nurse line</w:t>
                            </w:r>
                            <w:r w:rsidR="00A038E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38EB" w:rsidRPr="00A038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 that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employees have access to medical expertise immediately following an accident. </w:t>
                            </w:r>
                            <w:r w:rsidR="00CD1BC1" w:rsidRPr="00CD1B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Goodwill</w:t>
                            </w:r>
                            <w:r w:rsidR="00CD1B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Nurse line</w:t>
                            </w:r>
                            <w:r w:rsidR="00CD1BC1"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will assist with the claims process, determine what level of care is needed</w:t>
                            </w:r>
                            <w:r w:rsidR="00A038E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direct staff to the appropriate </w:t>
                            </w:r>
                            <w:r w:rsidR="009C25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medical 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clinics. </w:t>
                            </w:r>
                          </w:p>
                          <w:p w14:paraId="29B55490" w14:textId="77777777" w:rsidR="00E54125" w:rsidRPr="00FC5040" w:rsidRDefault="00E54125" w:rsidP="00CD1BC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C504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How Does It Work?</w:t>
                            </w:r>
                          </w:p>
                          <w:p w14:paraId="2C79DF92" w14:textId="77777777" w:rsidR="00E54125" w:rsidRPr="00FC5040" w:rsidRDefault="00E54125" w:rsidP="00CD1BC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C50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 all life threatening or serious injuries – CALL 911 Immediately!</w:t>
                            </w:r>
                          </w:p>
                          <w:p w14:paraId="5A82B3E9" w14:textId="3E23CDC4" w:rsidR="00E54125" w:rsidRPr="00FC5040" w:rsidRDefault="00E54125" w:rsidP="00CD1BC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the injury is non-life, and non-limb threatening, the supervisor and injured worker will contact </w:t>
                            </w:r>
                            <w:r w:rsidR="0047754F" w:rsidRPr="00CD1B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Goodwill</w:t>
                            </w:r>
                            <w:r w:rsidR="004775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Nurse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line</w:t>
                            </w:r>
                            <w:r w:rsidRPr="00FC50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Pr="009237AE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833-983-3379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FC50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before the injured worker seeks treatment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33CE39C" w14:textId="77777777" w:rsidR="00E54125" w:rsidRPr="00FC5040" w:rsidRDefault="00E54125" w:rsidP="00CD1BC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7152B5" w14:textId="21007A4F" w:rsidR="006F05FB" w:rsidRDefault="00E54125" w:rsidP="00CD1BC1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injured worker will work with an Injury Care Coordinator (ICC), who will take the injury incident report. </w:t>
                            </w:r>
                            <w:r w:rsidRPr="00FC504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If needed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the ICC will connect the injured worker with a Registered Nurse who</w:t>
                            </w:r>
                            <w:r w:rsidRPr="00FC504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will provide self-care advice and direct the injured employee to an appropriate medical </w:t>
                            </w:r>
                            <w:r w:rsidR="0020521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clinic</w:t>
                            </w:r>
                            <w:r w:rsidRPr="00FC50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treatment.</w:t>
                            </w:r>
                          </w:p>
                          <w:p w14:paraId="31F4BC14" w14:textId="1FCDF65F" w:rsidR="00E54125" w:rsidRPr="00FC5040" w:rsidRDefault="00E54125" w:rsidP="00E5412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FC504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4E00E08" w14:textId="77777777" w:rsidR="00E54125" w:rsidRPr="00FC5040" w:rsidRDefault="00E54125" w:rsidP="00E54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C504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The Process… Step by Step!</w:t>
                            </w:r>
                          </w:p>
                          <w:tbl>
                            <w:tblPr>
                              <w:tblStyle w:val="TableGrid"/>
                              <w:tblW w:w="109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4230"/>
                              <w:gridCol w:w="5940"/>
                            </w:tblGrid>
                            <w:tr w:rsidR="00E54125" w:rsidRPr="006F05FB" w14:paraId="3CFB8EC0" w14:textId="77777777" w:rsidTr="005A2231">
                              <w:trPr>
                                <w:trHeight w:val="368"/>
                              </w:trPr>
                              <w:tc>
                                <w:tcPr>
                                  <w:tcW w:w="805" w:type="dxa"/>
                                  <w:shd w:val="clear" w:color="auto" w:fill="D9D9D9" w:themeFill="background1" w:themeFillShade="D9"/>
                                </w:tcPr>
                                <w:p w14:paraId="7286F64F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STEP</w:t>
                                  </w:r>
                                </w:p>
                              </w:tc>
                              <w:tc>
                                <w:tcPr>
                                  <w:tcW w:w="10170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3EA437C0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ACTION</w:t>
                                  </w:r>
                                </w:p>
                              </w:tc>
                            </w:tr>
                            <w:tr w:rsidR="00E54125" w:rsidRPr="006F05FB" w14:paraId="0D38B884" w14:textId="77777777" w:rsidTr="005A2231">
                              <w:tc>
                                <w:tcPr>
                                  <w:tcW w:w="805" w:type="dxa"/>
                                </w:tcPr>
                                <w:p w14:paraId="19A038F7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170" w:type="dxa"/>
                                  <w:gridSpan w:val="2"/>
                                </w:tcPr>
                                <w:p w14:paraId="32B60DB5" w14:textId="68ACD70B" w:rsidR="00E54125" w:rsidRPr="006F05FB" w:rsidRDefault="00E54125" w:rsidP="00E5412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Following all Incidents/Accidents or Near Miss Events all employees must report to their supervisor to complete </w:t>
                                  </w:r>
                                  <w:proofErr w:type="spellStart"/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GConnect</w:t>
                                  </w:r>
                                  <w:proofErr w:type="spellEnd"/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report</w:t>
                                  </w:r>
                                  <w:r w:rsidR="005A223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54125" w:rsidRPr="006F05FB" w14:paraId="261BBAF2" w14:textId="77777777" w:rsidTr="008E7A07">
                              <w:trPr>
                                <w:trHeight w:val="377"/>
                              </w:trPr>
                              <w:tc>
                                <w:tcPr>
                                  <w:tcW w:w="805" w:type="dxa"/>
                                  <w:vMerge w:val="restart"/>
                                </w:tcPr>
                                <w:p w14:paraId="540B58AC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30" w:type="dxa"/>
                                  <w:shd w:val="clear" w:color="auto" w:fill="D9D9D9" w:themeFill="background1" w:themeFillShade="D9"/>
                                </w:tcPr>
                                <w:p w14:paraId="5255AB94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If the Employee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  <w:shd w:val="clear" w:color="auto" w:fill="D9D9D9" w:themeFill="background1" w:themeFillShade="D9"/>
                                </w:tcPr>
                                <w:p w14:paraId="3BA43897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Then</w:t>
                                  </w:r>
                                </w:p>
                              </w:tc>
                            </w:tr>
                            <w:tr w:rsidR="00E54125" w:rsidRPr="006F05FB" w14:paraId="18E64020" w14:textId="77777777" w:rsidTr="008E7A07">
                              <w:tc>
                                <w:tcPr>
                                  <w:tcW w:w="805" w:type="dxa"/>
                                  <w:vMerge/>
                                </w:tcPr>
                                <w:p w14:paraId="10DF9156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6BD7454A" w14:textId="49C2A121" w:rsidR="00E54125" w:rsidRPr="006F05FB" w:rsidRDefault="00E54125" w:rsidP="00E5412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Selects</w:t>
                                  </w: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to seek medical attention as a result of the incident</w:t>
                                  </w:r>
                                  <w:r w:rsidR="005A223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3C8A18CD" w14:textId="4179B666" w:rsidR="00E54125" w:rsidRPr="006F05FB" w:rsidRDefault="00E54125" w:rsidP="00E54125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The supervisor and the injured employee (together) will call </w:t>
                                  </w:r>
                                  <w:r w:rsidR="0047754F" w:rsidRPr="00CD1BC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Goodwill</w:t>
                                  </w:r>
                                  <w:r w:rsidR="0047754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Nurse line</w:t>
                                  </w:r>
                                  <w:r w:rsidR="0047754F"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at </w:t>
                                  </w: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color w:val="4472C4" w:themeColor="accent1"/>
                                      <w:sz w:val="22"/>
                                      <w:szCs w:val="22"/>
                                    </w:rPr>
                                    <w:t>833-983-3379.</w:t>
                                  </w:r>
                                </w:p>
                              </w:tc>
                            </w:tr>
                            <w:tr w:rsidR="00E54125" w:rsidRPr="006F05FB" w14:paraId="08CABFD5" w14:textId="77777777" w:rsidTr="008E7A07">
                              <w:tc>
                                <w:tcPr>
                                  <w:tcW w:w="805" w:type="dxa"/>
                                  <w:vMerge/>
                                </w:tcPr>
                                <w:p w14:paraId="5436C252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53C9B48E" w14:textId="4AAC4A8D" w:rsidR="00E54125" w:rsidRPr="006F05FB" w:rsidRDefault="00E54125" w:rsidP="00E5412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Is unsure </w:t>
                                  </w: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if they need medical attention as a result of the incident</w:t>
                                  </w:r>
                                  <w:r w:rsidR="005A2231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7C209395" w14:textId="5DDE141E" w:rsidR="00E54125" w:rsidRPr="006F05FB" w:rsidRDefault="00E54125" w:rsidP="00E54125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The supervisor and the injured employee (together) will call </w:t>
                                  </w:r>
                                  <w:r w:rsidR="0047754F" w:rsidRPr="00CD1BC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Goodwill</w:t>
                                  </w:r>
                                  <w:r w:rsidR="0047754F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Nurse line</w:t>
                                  </w:r>
                                  <w:r w:rsidR="0047754F"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at </w:t>
                                  </w: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color w:val="4472C4" w:themeColor="accent1"/>
                                      <w:sz w:val="22"/>
                                      <w:szCs w:val="22"/>
                                    </w:rPr>
                                    <w:t>833-983-3379.</w:t>
                                  </w:r>
                                </w:p>
                              </w:tc>
                            </w:tr>
                            <w:tr w:rsidR="00E54125" w:rsidRPr="006F05FB" w14:paraId="7CA4EDC9" w14:textId="77777777" w:rsidTr="008E7A07">
                              <w:tc>
                                <w:tcPr>
                                  <w:tcW w:w="805" w:type="dxa"/>
                                  <w:vMerge/>
                                </w:tcPr>
                                <w:p w14:paraId="652DF5DD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0" w:type="dxa"/>
                                </w:tcPr>
                                <w:p w14:paraId="2F3E14ED" w14:textId="021356F5" w:rsidR="00E54125" w:rsidRPr="006F05FB" w:rsidRDefault="00E54125" w:rsidP="00E5412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Does not</w:t>
                                  </w: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wish to seek medical attention</w:t>
                                  </w:r>
                                  <w:r w:rsidR="008E7A0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7BB58250" w14:textId="653C6943" w:rsidR="00E54125" w:rsidRPr="008E7A07" w:rsidRDefault="00E54125" w:rsidP="008E7A07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0" w:type="dxa"/>
                                </w:tcPr>
                                <w:p w14:paraId="49FC5474" w14:textId="77777777" w:rsidR="00E54125" w:rsidRPr="006F05FB" w:rsidRDefault="00E54125" w:rsidP="00E5412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Complete the </w:t>
                                  </w:r>
                                  <w:proofErr w:type="spellStart"/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GConnect</w:t>
                                  </w:r>
                                  <w:proofErr w:type="spellEnd"/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46D3A880" w14:textId="77777777" w:rsidR="00E54125" w:rsidRDefault="00E54125" w:rsidP="00E5412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Employee may return to work </w:t>
                                  </w:r>
                                </w:p>
                                <w:p w14:paraId="7040AFCB" w14:textId="40F41C07" w:rsidR="005A2231" w:rsidRPr="006F05FB" w:rsidRDefault="005A2231" w:rsidP="00E5412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Employee may change their mind anytime if their condition changes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54125" w:rsidRPr="006F05FB" w14:paraId="1C290391" w14:textId="77777777" w:rsidTr="005A2231">
                              <w:tc>
                                <w:tcPr>
                                  <w:tcW w:w="805" w:type="dxa"/>
                                </w:tcPr>
                                <w:p w14:paraId="5E433FB7" w14:textId="77777777" w:rsidR="00E54125" w:rsidRPr="006F05FB" w:rsidRDefault="00E54125" w:rsidP="00E54125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170" w:type="dxa"/>
                                  <w:gridSpan w:val="2"/>
                                </w:tcPr>
                                <w:p w14:paraId="54F02785" w14:textId="7419A047" w:rsidR="00E54125" w:rsidRPr="006F05FB" w:rsidRDefault="00E54125" w:rsidP="00E5412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6F05F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Follow the instructions provided by </w:t>
                                  </w:r>
                                  <w:r w:rsidR="00A15ED2" w:rsidRPr="00CD1BC1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Goodwill</w:t>
                                  </w:r>
                                  <w:r w:rsidR="00A15ED2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 Nurse line.</w:t>
                                  </w:r>
                                </w:p>
                              </w:tc>
                            </w:tr>
                          </w:tbl>
                          <w:p w14:paraId="6C7A9AE1" w14:textId="77777777" w:rsidR="00E54125" w:rsidRPr="00FC5040" w:rsidRDefault="00E54125" w:rsidP="00E541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44EA3421" w14:textId="77777777" w:rsidR="00E54125" w:rsidRDefault="00E541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EFA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7pt;margin-top:108.15pt;width:559pt;height:5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" fillcolor="white [3201]" stroked="f" strokeweight=".5pt">
                <v:textbox>
                  <w:txbxContent>
                    <w:p w14:paraId="51BE9FEE" w14:textId="23A843C5" w:rsidR="00E54125" w:rsidRPr="0004306E" w:rsidRDefault="00E54125" w:rsidP="00E5412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504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Introducing, </w:t>
                      </w:r>
                      <w:r w:rsidR="0004306E" w:rsidRPr="000430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Goodwill Nurse line</w:t>
                      </w:r>
                      <w:r w:rsidRPr="0004306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!</w:t>
                      </w:r>
                    </w:p>
                    <w:p w14:paraId="190A3E3D" w14:textId="40EF4A58" w:rsidR="00E54125" w:rsidRPr="00FC5040" w:rsidRDefault="00E54125" w:rsidP="00CD1BC1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</w:t>
                      </w:r>
                      <w:r w:rsidR="00B669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oodwill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Nurse line</w:t>
                      </w:r>
                      <w:r w:rsidRPr="00FC50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Eases the Pain of Workers’ Compensation</w:t>
                      </w:r>
                    </w:p>
                    <w:p w14:paraId="3902564B" w14:textId="7D086B79" w:rsidR="00E54125" w:rsidRPr="00FC5040" w:rsidRDefault="00E54125" w:rsidP="00CD1BC1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There’s nothing fun about workers’ comp. Completing </w:t>
                      </w:r>
                      <w:proofErr w:type="spellStart"/>
                      <w:r w:rsidR="00B064C0">
                        <w:rPr>
                          <w:rFonts w:ascii="Arial" w:hAnsi="Arial" w:cs="Arial"/>
                          <w:sz w:val="22"/>
                          <w:szCs w:val="22"/>
                        </w:rPr>
                        <w:t>GConnect</w:t>
                      </w:r>
                      <w:proofErr w:type="spellEnd"/>
                      <w:r w:rsidR="00B064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reports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filing claims, managing providers, determining if an employee should seek medical attention, and deciding where to send them. That's why we're providing our employees with the benefit of </w:t>
                      </w:r>
                      <w:r w:rsidR="00CD1BC1" w:rsidRPr="00CD1B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Goodwill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Nurse line</w:t>
                      </w:r>
                      <w:r w:rsidR="00A038E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038EB" w:rsidRPr="00A038EB">
                        <w:rPr>
                          <w:rFonts w:ascii="Arial" w:hAnsi="Arial" w:cs="Arial"/>
                          <w:sz w:val="22"/>
                          <w:szCs w:val="22"/>
                        </w:rPr>
                        <w:t>so that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employees have access to medical expertise immediately following an accident. </w:t>
                      </w:r>
                      <w:r w:rsidR="00CD1BC1" w:rsidRPr="00CD1B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Goodwill</w:t>
                      </w:r>
                      <w:r w:rsidR="00CD1B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Nurse line</w:t>
                      </w:r>
                      <w:r w:rsidR="00CD1BC1"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>will assist with the claims process, determine what level of care is needed</w:t>
                      </w:r>
                      <w:r w:rsidR="00A038EB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direct staff to the appropriate </w:t>
                      </w:r>
                      <w:r w:rsidR="009C25A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medical 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clinics. </w:t>
                      </w:r>
                    </w:p>
                    <w:p w14:paraId="29B55490" w14:textId="77777777" w:rsidR="00E54125" w:rsidRPr="00FC5040" w:rsidRDefault="00E54125" w:rsidP="00CD1BC1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C5040">
                        <w:rPr>
                          <w:rFonts w:ascii="Arial" w:hAnsi="Arial" w:cs="Arial"/>
                          <w:b/>
                          <w:sz w:val="28"/>
                        </w:rPr>
                        <w:t>How Does It Work?</w:t>
                      </w:r>
                    </w:p>
                    <w:p w14:paraId="2C79DF92" w14:textId="77777777" w:rsidR="00E54125" w:rsidRPr="00FC5040" w:rsidRDefault="00E54125" w:rsidP="00CD1BC1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C50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 all life threatening or serious injuries – CALL 911 Immediately!</w:t>
                      </w:r>
                    </w:p>
                    <w:p w14:paraId="5A82B3E9" w14:textId="3E23CDC4" w:rsidR="00E54125" w:rsidRPr="00FC5040" w:rsidRDefault="00E54125" w:rsidP="00CD1BC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the injury is non-life, and non-limb threatening, the supervisor and injured worker will contact </w:t>
                      </w:r>
                      <w:r w:rsidR="0047754F" w:rsidRPr="00CD1BC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Goodwill</w:t>
                      </w:r>
                      <w:r w:rsidR="004775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Nurse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line</w:t>
                      </w:r>
                      <w:r w:rsidRPr="00FC50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at </w:t>
                      </w:r>
                      <w:r w:rsidRPr="009237AE">
                        <w:rPr>
                          <w:rFonts w:ascii="Arial" w:hAnsi="Arial" w:cs="Arial"/>
                          <w:b/>
                          <w:color w:val="4472C4" w:themeColor="accent1"/>
                          <w:sz w:val="22"/>
                          <w:szCs w:val="22"/>
                        </w:rPr>
                        <w:t>833-983-3379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FC50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before the injured worker seeks treatment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33CE39C" w14:textId="77777777" w:rsidR="00E54125" w:rsidRPr="00FC5040" w:rsidRDefault="00E54125" w:rsidP="00CD1BC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7152B5" w14:textId="21007A4F" w:rsidR="006F05FB" w:rsidRDefault="00E54125" w:rsidP="00CD1BC1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injured worker will work with an Injury Care Coordinator (ICC), who will take the injury incident report. </w:t>
                      </w:r>
                      <w:r w:rsidRPr="00FC504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If needed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>, the ICC will connect the injured worker with a Registered Nurse who</w:t>
                      </w:r>
                      <w:r w:rsidRPr="00FC5040">
                        <w:rPr>
                          <w:rFonts w:ascii="Arial" w:hAnsi="Arial" w:cs="Arial"/>
                        </w:rPr>
                        <w:t xml:space="preserve"> 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will provide self-care advice and direct the injured employee to an appropriate medical </w:t>
                      </w:r>
                      <w:r w:rsidR="00205215">
                        <w:rPr>
                          <w:rFonts w:ascii="Arial" w:hAnsi="Arial" w:cs="Arial"/>
                          <w:sz w:val="22"/>
                          <w:szCs w:val="22"/>
                        </w:rPr>
                        <w:t>clinic</w:t>
                      </w:r>
                      <w:r w:rsidRPr="00FC50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treatment.</w:t>
                      </w:r>
                    </w:p>
                    <w:p w14:paraId="31F4BC14" w14:textId="1FCDF65F" w:rsidR="00E54125" w:rsidRPr="00FC5040" w:rsidRDefault="00E54125" w:rsidP="00E5412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FC504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4E00E08" w14:textId="77777777" w:rsidR="00E54125" w:rsidRPr="00FC5040" w:rsidRDefault="00E54125" w:rsidP="00E5412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C5040">
                        <w:rPr>
                          <w:rFonts w:ascii="Arial" w:hAnsi="Arial" w:cs="Arial"/>
                          <w:b/>
                          <w:sz w:val="28"/>
                        </w:rPr>
                        <w:t>The Process… Step by Step!</w:t>
                      </w:r>
                    </w:p>
                    <w:tbl>
                      <w:tblPr>
                        <w:tblStyle w:val="TableGrid"/>
                        <w:tblW w:w="10975" w:type="dxa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4230"/>
                        <w:gridCol w:w="5940"/>
                      </w:tblGrid>
                      <w:tr w:rsidR="00E54125" w:rsidRPr="006F05FB" w14:paraId="3CFB8EC0" w14:textId="77777777" w:rsidTr="005A2231">
                        <w:trPr>
                          <w:trHeight w:val="368"/>
                        </w:trPr>
                        <w:tc>
                          <w:tcPr>
                            <w:tcW w:w="805" w:type="dxa"/>
                            <w:shd w:val="clear" w:color="auto" w:fill="D9D9D9" w:themeFill="background1" w:themeFillShade="D9"/>
                          </w:tcPr>
                          <w:p w14:paraId="7286F64F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STEP</w:t>
                            </w:r>
                          </w:p>
                        </w:tc>
                        <w:tc>
                          <w:tcPr>
                            <w:tcW w:w="10170" w:type="dxa"/>
                            <w:gridSpan w:val="2"/>
                            <w:shd w:val="clear" w:color="auto" w:fill="D9D9D9" w:themeFill="background1" w:themeFillShade="D9"/>
                          </w:tcPr>
                          <w:p w14:paraId="3EA437C0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ACTION</w:t>
                            </w:r>
                          </w:p>
                        </w:tc>
                      </w:tr>
                      <w:tr w:rsidR="00E54125" w:rsidRPr="006F05FB" w14:paraId="0D38B884" w14:textId="77777777" w:rsidTr="005A2231">
                        <w:tc>
                          <w:tcPr>
                            <w:tcW w:w="805" w:type="dxa"/>
                          </w:tcPr>
                          <w:p w14:paraId="19A038F7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170" w:type="dxa"/>
                            <w:gridSpan w:val="2"/>
                          </w:tcPr>
                          <w:p w14:paraId="32B60DB5" w14:textId="68ACD70B" w:rsidR="00E54125" w:rsidRPr="006F05FB" w:rsidRDefault="00E54125" w:rsidP="00E54125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Following all Incidents/Accidents or Near Miss Events all employees must report to their supervisor to complete </w:t>
                            </w:r>
                            <w:proofErr w:type="spellStart"/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GConnect</w:t>
                            </w:r>
                            <w:proofErr w:type="spellEnd"/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report</w:t>
                            </w:r>
                            <w:r w:rsidR="005A22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E54125" w:rsidRPr="006F05FB" w14:paraId="261BBAF2" w14:textId="77777777" w:rsidTr="008E7A07">
                        <w:trPr>
                          <w:trHeight w:val="377"/>
                        </w:trPr>
                        <w:tc>
                          <w:tcPr>
                            <w:tcW w:w="805" w:type="dxa"/>
                            <w:vMerge w:val="restart"/>
                          </w:tcPr>
                          <w:p w14:paraId="540B58AC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30" w:type="dxa"/>
                            <w:shd w:val="clear" w:color="auto" w:fill="D9D9D9" w:themeFill="background1" w:themeFillShade="D9"/>
                          </w:tcPr>
                          <w:p w14:paraId="5255AB94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If the Employee</w:t>
                            </w:r>
                          </w:p>
                        </w:tc>
                        <w:tc>
                          <w:tcPr>
                            <w:tcW w:w="5940" w:type="dxa"/>
                            <w:shd w:val="clear" w:color="auto" w:fill="D9D9D9" w:themeFill="background1" w:themeFillShade="D9"/>
                          </w:tcPr>
                          <w:p w14:paraId="3BA43897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Then</w:t>
                            </w:r>
                          </w:p>
                        </w:tc>
                      </w:tr>
                      <w:tr w:rsidR="00E54125" w:rsidRPr="006F05FB" w14:paraId="18E64020" w14:textId="77777777" w:rsidTr="008E7A07">
                        <w:tc>
                          <w:tcPr>
                            <w:tcW w:w="805" w:type="dxa"/>
                            <w:vMerge/>
                          </w:tcPr>
                          <w:p w14:paraId="10DF9156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30" w:type="dxa"/>
                          </w:tcPr>
                          <w:p w14:paraId="6BD7454A" w14:textId="49C2A121" w:rsidR="00E54125" w:rsidRPr="006F05FB" w:rsidRDefault="00E54125" w:rsidP="00E54125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Selects</w:t>
                            </w: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seek medical attention as a result of the incident</w:t>
                            </w:r>
                            <w:r w:rsidR="005A22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14:paraId="3C8A18CD" w14:textId="4179B666" w:rsidR="00E54125" w:rsidRPr="006F05FB" w:rsidRDefault="00E54125" w:rsidP="00E5412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supervisor and the injured employee (together) will call </w:t>
                            </w:r>
                            <w:r w:rsidR="0047754F" w:rsidRPr="00CD1B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Goodwill</w:t>
                            </w:r>
                            <w:r w:rsidR="004775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Nurse line</w:t>
                            </w:r>
                            <w:r w:rsidR="0047754F"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Pr="006F05F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833-983-3379.</w:t>
                            </w:r>
                          </w:p>
                        </w:tc>
                      </w:tr>
                      <w:tr w:rsidR="00E54125" w:rsidRPr="006F05FB" w14:paraId="08CABFD5" w14:textId="77777777" w:rsidTr="008E7A07">
                        <w:tc>
                          <w:tcPr>
                            <w:tcW w:w="805" w:type="dxa"/>
                            <w:vMerge/>
                          </w:tcPr>
                          <w:p w14:paraId="5436C252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30" w:type="dxa"/>
                          </w:tcPr>
                          <w:p w14:paraId="53C9B48E" w14:textId="4AAC4A8D" w:rsidR="00E54125" w:rsidRPr="006F05FB" w:rsidRDefault="00E54125" w:rsidP="00E5412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Is unsure </w:t>
                            </w: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they need medical attention as a result of the incident</w:t>
                            </w:r>
                            <w:r w:rsidR="005A223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940" w:type="dxa"/>
                          </w:tcPr>
                          <w:p w14:paraId="7C209395" w14:textId="5DDE141E" w:rsidR="00E54125" w:rsidRPr="006F05FB" w:rsidRDefault="00E54125" w:rsidP="00E541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supervisor and the injured employee (together) will call </w:t>
                            </w:r>
                            <w:r w:rsidR="0047754F" w:rsidRPr="00CD1B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Goodwill</w:t>
                            </w:r>
                            <w:r w:rsidR="004775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Nurse line</w:t>
                            </w:r>
                            <w:r w:rsidR="0047754F"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at </w:t>
                            </w:r>
                            <w:r w:rsidRPr="006F05FB">
                              <w:rPr>
                                <w:rFonts w:ascii="Arial" w:hAnsi="Arial" w:cs="Arial"/>
                                <w:b/>
                                <w:color w:val="4472C4" w:themeColor="accent1"/>
                                <w:sz w:val="22"/>
                                <w:szCs w:val="22"/>
                              </w:rPr>
                              <w:t>833-983-3379.</w:t>
                            </w:r>
                          </w:p>
                        </w:tc>
                      </w:tr>
                      <w:tr w:rsidR="00E54125" w:rsidRPr="006F05FB" w14:paraId="7CA4EDC9" w14:textId="77777777" w:rsidTr="008E7A07">
                        <w:tc>
                          <w:tcPr>
                            <w:tcW w:w="805" w:type="dxa"/>
                            <w:vMerge/>
                          </w:tcPr>
                          <w:p w14:paraId="652DF5DD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230" w:type="dxa"/>
                          </w:tcPr>
                          <w:p w14:paraId="2F3E14ED" w14:textId="021356F5" w:rsidR="00E54125" w:rsidRPr="006F05FB" w:rsidRDefault="00E54125" w:rsidP="00E54125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Does not</w:t>
                            </w: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wish to seek medical attention</w:t>
                            </w:r>
                            <w:r w:rsidR="008E7A0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BB58250" w14:textId="653C6943" w:rsidR="00E54125" w:rsidRPr="008E7A07" w:rsidRDefault="00E54125" w:rsidP="008E7A07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940" w:type="dxa"/>
                          </w:tcPr>
                          <w:p w14:paraId="49FC5474" w14:textId="77777777" w:rsidR="00E54125" w:rsidRPr="006F05FB" w:rsidRDefault="00E54125" w:rsidP="00E54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Complete the </w:t>
                            </w:r>
                            <w:proofErr w:type="spellStart"/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GConnect</w:t>
                            </w:r>
                            <w:proofErr w:type="spellEnd"/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6D3A880" w14:textId="77777777" w:rsidR="00E54125" w:rsidRDefault="00E54125" w:rsidP="00E54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Employee may return to work </w:t>
                            </w:r>
                          </w:p>
                          <w:p w14:paraId="7040AFCB" w14:textId="40F41C07" w:rsidR="005A2231" w:rsidRPr="006F05FB" w:rsidRDefault="005A2231" w:rsidP="00E541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Employee may change their mind anytime if their condition changes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E54125" w:rsidRPr="006F05FB" w14:paraId="1C290391" w14:textId="77777777" w:rsidTr="005A2231">
                        <w:tc>
                          <w:tcPr>
                            <w:tcW w:w="805" w:type="dxa"/>
                          </w:tcPr>
                          <w:p w14:paraId="5E433FB7" w14:textId="77777777" w:rsidR="00E54125" w:rsidRPr="006F05FB" w:rsidRDefault="00E54125" w:rsidP="00E54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170" w:type="dxa"/>
                            <w:gridSpan w:val="2"/>
                          </w:tcPr>
                          <w:p w14:paraId="54F02785" w14:textId="7419A047" w:rsidR="00E54125" w:rsidRPr="006F05FB" w:rsidRDefault="00E54125" w:rsidP="00E54125">
                            <w:pPr>
                              <w:spacing w:after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05F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Follow the instructions provided by </w:t>
                            </w:r>
                            <w:r w:rsidR="00A15ED2" w:rsidRPr="00CD1BC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Goodwill</w:t>
                            </w:r>
                            <w:r w:rsidR="00A15ED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Nurse line.</w:t>
                            </w:r>
                          </w:p>
                        </w:tc>
                      </w:tr>
                    </w:tbl>
                    <w:p w14:paraId="6C7A9AE1" w14:textId="77777777" w:rsidR="00E54125" w:rsidRPr="00FC5040" w:rsidRDefault="00E54125" w:rsidP="00E5412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44EA3421" w14:textId="77777777" w:rsidR="00E54125" w:rsidRDefault="00E54125"/>
                  </w:txbxContent>
                </v:textbox>
              </v:shape>
            </w:pict>
          </mc:Fallback>
        </mc:AlternateContent>
      </w:r>
      <w:r w:rsidR="00C978F4">
        <w:rPr>
          <w:noProof/>
        </w:rPr>
        <w:drawing>
          <wp:inline distT="0" distB="0" distL="0" distR="0" wp14:anchorId="622ECA3B" wp14:editId="5E018D58">
            <wp:extent cx="7700857" cy="9929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WCRE Letterhead 7-20_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617" cy="993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15B" w:rsidSect="00C978F4">
      <w:pgSz w:w="12240" w:h="15840"/>
      <w:pgMar w:top="63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5D6C"/>
    <w:multiLevelType w:val="hybridMultilevel"/>
    <w:tmpl w:val="F8C677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318"/>
    <w:multiLevelType w:val="hybridMultilevel"/>
    <w:tmpl w:val="AA9C9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E7F8D"/>
    <w:multiLevelType w:val="hybridMultilevel"/>
    <w:tmpl w:val="3A52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2NTA1MLIwMTEwMTNU0lEKTi0uzszPAykwrAUANimz5iwAAAA="/>
  </w:docVars>
  <w:rsids>
    <w:rsidRoot w:val="00C978F4"/>
    <w:rsid w:val="000045AE"/>
    <w:rsid w:val="0004306E"/>
    <w:rsid w:val="001555A8"/>
    <w:rsid w:val="00205215"/>
    <w:rsid w:val="00377EAD"/>
    <w:rsid w:val="0047754F"/>
    <w:rsid w:val="004D5931"/>
    <w:rsid w:val="004E109A"/>
    <w:rsid w:val="00554374"/>
    <w:rsid w:val="005A2231"/>
    <w:rsid w:val="006C32A5"/>
    <w:rsid w:val="006F05FB"/>
    <w:rsid w:val="00701891"/>
    <w:rsid w:val="007B260F"/>
    <w:rsid w:val="007E748D"/>
    <w:rsid w:val="00816821"/>
    <w:rsid w:val="008E7A07"/>
    <w:rsid w:val="00924297"/>
    <w:rsid w:val="00982BBF"/>
    <w:rsid w:val="009C25A2"/>
    <w:rsid w:val="00A038EB"/>
    <w:rsid w:val="00A15ED2"/>
    <w:rsid w:val="00AE7AAD"/>
    <w:rsid w:val="00B064C0"/>
    <w:rsid w:val="00B669A3"/>
    <w:rsid w:val="00BD7D0A"/>
    <w:rsid w:val="00C978F4"/>
    <w:rsid w:val="00CD1BC1"/>
    <w:rsid w:val="00D63D56"/>
    <w:rsid w:val="00E54125"/>
    <w:rsid w:val="00E70DDA"/>
    <w:rsid w:val="00E86E5E"/>
    <w:rsid w:val="00EA53E9"/>
    <w:rsid w:val="00ED3CAF"/>
    <w:rsid w:val="00F1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E9403"/>
  <w15:chartTrackingRefBased/>
  <w15:docId w15:val="{2E93E6B4-CA75-0248-94E0-AF046C80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5412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82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924297"/>
    <w:rPr>
      <w:rFonts w:ascii="Times New Roman" w:hAnsi="Times New Roman" w:cs="Times New Roman (Body CS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297"/>
    <w:pPr>
      <w:ind w:left="720"/>
      <w:contextualSpacing/>
    </w:pPr>
    <w:rPr>
      <w:rFonts w:ascii="Times New Roman" w:hAnsi="Times New Roman" w:cs="Times New Roman (Body CS)"/>
    </w:rPr>
  </w:style>
  <w:style w:type="character" w:styleId="Hyperlink">
    <w:name w:val="Hyperlink"/>
    <w:basedOn w:val="DefaultParagraphFont"/>
    <w:uiPriority w:val="99"/>
    <w:unhideWhenUsed/>
    <w:rsid w:val="009242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2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Stephanie Yingling</cp:lastModifiedBy>
  <cp:revision>2</cp:revision>
  <cp:lastPrinted>2022-07-27T17:47:00Z</cp:lastPrinted>
  <dcterms:created xsi:type="dcterms:W3CDTF">2022-07-29T18:50:00Z</dcterms:created>
  <dcterms:modified xsi:type="dcterms:W3CDTF">2022-07-29T18:50:00Z</dcterms:modified>
</cp:coreProperties>
</file>